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AE" w:rsidRDefault="00637EAE">
      <w:pPr>
        <w:pStyle w:val="Encabezado"/>
        <w:tabs>
          <w:tab w:val="clear" w:pos="4419"/>
          <w:tab w:val="clear" w:pos="8838"/>
        </w:tabs>
        <w:jc w:val="center"/>
        <w:rPr>
          <w:b/>
          <w:bCs/>
        </w:rPr>
      </w:pPr>
      <w:r>
        <w:rPr>
          <w:b/>
          <w:bCs/>
        </w:rPr>
        <w:t>MEMORIA DE LA ALCALDIA</w:t>
      </w:r>
    </w:p>
    <w:p w:rsidR="00637EAE" w:rsidRDefault="00637EAE">
      <w:pPr>
        <w:pStyle w:val="Encabezado"/>
        <w:tabs>
          <w:tab w:val="clear" w:pos="4419"/>
          <w:tab w:val="clear" w:pos="8838"/>
        </w:tabs>
      </w:pPr>
    </w:p>
    <w:p w:rsidR="00545418" w:rsidRDefault="00637EAE">
      <w:pPr>
        <w:pStyle w:val="Encabezado"/>
        <w:tabs>
          <w:tab w:val="clear" w:pos="4419"/>
          <w:tab w:val="clear" w:pos="8838"/>
        </w:tabs>
        <w:ind w:firstLine="708"/>
      </w:pPr>
      <w:r>
        <w:t>El Proyecto de Presupuesto para 2.0</w:t>
      </w:r>
      <w:r w:rsidR="009F5F22">
        <w:t>1</w:t>
      </w:r>
      <w:r w:rsidR="00AE48ED">
        <w:t>5</w:t>
      </w:r>
      <w:r>
        <w:t xml:space="preserve">, asciende a </w:t>
      </w:r>
      <w:r w:rsidR="00A5280B">
        <w:t>4</w:t>
      </w:r>
      <w:r w:rsidR="00AE48ED">
        <w:t>7.649.428,85</w:t>
      </w:r>
      <w:r>
        <w:t xml:space="preserve"> euros,</w:t>
      </w:r>
      <w:r w:rsidR="00545418">
        <w:t xml:space="preserve"> en el estado de gastos,</w:t>
      </w:r>
      <w:r>
        <w:t xml:space="preserve"> lo que representa a nivel global, un</w:t>
      </w:r>
      <w:r w:rsidR="00AE48ED">
        <w:t xml:space="preserve"> incremento</w:t>
      </w:r>
      <w:r w:rsidR="006F036A">
        <w:t xml:space="preserve"> </w:t>
      </w:r>
      <w:r w:rsidR="00CA432C">
        <w:t>d</w:t>
      </w:r>
      <w:r>
        <w:t>el</w:t>
      </w:r>
      <w:r w:rsidR="00CA432C">
        <w:t xml:space="preserve"> </w:t>
      </w:r>
      <w:r w:rsidR="00AE48ED">
        <w:t>2,87</w:t>
      </w:r>
      <w:r>
        <w:t>% respecto del Presupuesto del ejercicio de 2.0</w:t>
      </w:r>
      <w:r w:rsidR="00AF7E33">
        <w:t>1</w:t>
      </w:r>
      <w:r w:rsidR="00AE48ED">
        <w:t>4</w:t>
      </w:r>
      <w:r>
        <w:t>,</w:t>
      </w:r>
      <w:r w:rsidR="00545418">
        <w:t xml:space="preserve"> y de</w:t>
      </w:r>
      <w:r w:rsidR="00A5280B">
        <w:t>l mismo importe</w:t>
      </w:r>
      <w:r w:rsidR="00545418">
        <w:t xml:space="preserve"> el estado de ingresos, y en consecuencia con </w:t>
      </w:r>
      <w:r w:rsidR="00A5280B">
        <w:t>un equilibrio inicial.</w:t>
      </w:r>
    </w:p>
    <w:p w:rsidR="00637EAE" w:rsidRDefault="00545418">
      <w:pPr>
        <w:pStyle w:val="Encabezado"/>
        <w:tabs>
          <w:tab w:val="clear" w:pos="4419"/>
          <w:tab w:val="clear" w:pos="8838"/>
        </w:tabs>
        <w:ind w:firstLine="708"/>
      </w:pPr>
      <w:r>
        <w:t xml:space="preserve"> </w:t>
      </w:r>
    </w:p>
    <w:p w:rsidR="00637EAE" w:rsidRDefault="00637EAE">
      <w:pPr>
        <w:pStyle w:val="Encabezado"/>
        <w:tabs>
          <w:tab w:val="clear" w:pos="4419"/>
          <w:tab w:val="clear" w:pos="8838"/>
        </w:tabs>
        <w:ind w:firstLine="708"/>
      </w:pPr>
      <w:r>
        <w:t>El origen de los ingresos a percibir durante el 2.0</w:t>
      </w:r>
      <w:r w:rsidR="00567C83">
        <w:t>1</w:t>
      </w:r>
      <w:r w:rsidR="00AE48ED">
        <w:t>5</w:t>
      </w:r>
      <w:r>
        <w:t>, obedece a la distribución recogida en el siguiente cuadro:</w:t>
      </w:r>
    </w:p>
    <w:p w:rsidR="00637EAE" w:rsidRDefault="00637EAE">
      <w:pPr>
        <w:pStyle w:val="Encabezado"/>
        <w:tabs>
          <w:tab w:val="clear" w:pos="4419"/>
          <w:tab w:val="clear" w:pos="8838"/>
        </w:tabs>
        <w:ind w:firstLine="708"/>
      </w:pPr>
    </w:p>
    <w:tbl>
      <w:tblPr>
        <w:tblW w:w="738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470"/>
        <w:gridCol w:w="2694"/>
        <w:gridCol w:w="1800"/>
        <w:gridCol w:w="1425"/>
      </w:tblGrid>
      <w:tr w:rsidR="00637EAE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CAPITULO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DENOMINACION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PRES.ACTUAL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%S/TOTAL</w:t>
            </w:r>
          </w:p>
        </w:tc>
      </w:tr>
      <w:tr w:rsidR="00A5280B" w:rsidTr="009275D2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5280B" w:rsidRDefault="00A528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0B" w:rsidRDefault="00A5280B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Impuestos directos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280B" w:rsidRDefault="00AE48ED" w:rsidP="005A79FF">
            <w:pPr>
              <w:jc w:val="right"/>
            </w:pPr>
            <w:r>
              <w:t>24.614.573,75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280B" w:rsidRDefault="00A5280B" w:rsidP="00AE4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E48ED">
              <w:rPr>
                <w:rFonts w:ascii="Arial" w:hAnsi="Arial" w:cs="Arial"/>
                <w:sz w:val="20"/>
                <w:szCs w:val="20"/>
              </w:rPr>
              <w:t>1,66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5280B" w:rsidTr="009275D2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5280B" w:rsidRDefault="00A528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0B" w:rsidRDefault="00A5280B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Impuestos indirectos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280B" w:rsidRDefault="005A79FF" w:rsidP="00AE48ED">
            <w:pPr>
              <w:jc w:val="right"/>
            </w:pPr>
            <w:r>
              <w:t>3</w:t>
            </w:r>
            <w:r w:rsidR="00AE48ED">
              <w:t>8</w:t>
            </w:r>
            <w:r w:rsidR="00A5280B">
              <w:t>0.000,00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280B" w:rsidRDefault="005A79FF" w:rsidP="00AE4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AE48ED">
              <w:rPr>
                <w:rFonts w:ascii="Arial" w:hAnsi="Arial" w:cs="Arial"/>
                <w:sz w:val="20"/>
                <w:szCs w:val="20"/>
              </w:rPr>
              <w:t>80</w:t>
            </w:r>
            <w:r w:rsidR="00A528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5280B" w:rsidTr="009275D2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5280B" w:rsidRDefault="00A528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0B" w:rsidRDefault="00A5280B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Tasas y otros ingresos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280B" w:rsidRDefault="00A5280B" w:rsidP="00AE48ED">
            <w:pPr>
              <w:jc w:val="right"/>
            </w:pPr>
            <w:r>
              <w:t>11.</w:t>
            </w:r>
            <w:r w:rsidR="00AE48ED">
              <w:t>393.790,60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280B" w:rsidRDefault="00A5280B" w:rsidP="00AE4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E48ED">
              <w:rPr>
                <w:rFonts w:ascii="Arial" w:hAnsi="Arial" w:cs="Arial"/>
                <w:sz w:val="20"/>
                <w:szCs w:val="20"/>
              </w:rPr>
              <w:t>3,91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5280B" w:rsidTr="009275D2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5280B" w:rsidRDefault="00A528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0B" w:rsidRDefault="00A5280B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Transferencias corrientes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280B" w:rsidRDefault="005A79FF" w:rsidP="00AE48ED">
            <w:pPr>
              <w:jc w:val="right"/>
            </w:pPr>
            <w:r>
              <w:t>10.</w:t>
            </w:r>
            <w:r w:rsidR="00AE48ED">
              <w:t>813.064,50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280B" w:rsidRDefault="00A5280B" w:rsidP="00AE4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E48ED">
              <w:rPr>
                <w:rFonts w:ascii="Arial" w:hAnsi="Arial" w:cs="Arial"/>
                <w:sz w:val="20"/>
                <w:szCs w:val="20"/>
              </w:rPr>
              <w:t>2,69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5280B" w:rsidTr="009275D2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5280B" w:rsidRDefault="00A528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0B" w:rsidRDefault="00A5280B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Ingresos patrimoniales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280B" w:rsidRDefault="00AE48ED">
            <w:pPr>
              <w:jc w:val="right"/>
            </w:pPr>
            <w:r>
              <w:t>448.000,</w:t>
            </w:r>
            <w:r w:rsidR="00A5280B">
              <w:t>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280B" w:rsidRDefault="00AE4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0,94</w:t>
            </w:r>
            <w:r w:rsidR="00A528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637EAE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Enajenación inversiones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9A04E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432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CA432C">
              <w:rPr>
                <w:color w:val="000000"/>
              </w:rPr>
              <w:t>0</w:t>
            </w:r>
            <w:r w:rsidR="00637EAE">
              <w:rPr>
                <w:color w:val="000000"/>
              </w:rPr>
              <w:t>%</w:t>
            </w:r>
          </w:p>
        </w:tc>
      </w:tr>
      <w:tr w:rsidR="00637EAE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Transferencias de capital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A528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A528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637EAE">
              <w:rPr>
                <w:color w:val="000000"/>
              </w:rPr>
              <w:t>%</w:t>
            </w:r>
          </w:p>
        </w:tc>
      </w:tr>
      <w:tr w:rsidR="00637EAE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Activos financieros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0,00%</w:t>
            </w:r>
          </w:p>
        </w:tc>
      </w:tr>
      <w:tr w:rsidR="00637EAE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Pasivos financieros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0156E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0156E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637EAE">
              <w:rPr>
                <w:color w:val="000000"/>
              </w:rPr>
              <w:t>%</w:t>
            </w:r>
          </w:p>
        </w:tc>
      </w:tr>
      <w:tr w:rsidR="00637EAE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14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37EAE" w:rsidRDefault="005A79FF" w:rsidP="00AE48E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AE48ED">
              <w:rPr>
                <w:b/>
                <w:bCs/>
                <w:color w:val="000000"/>
              </w:rPr>
              <w:t>7.649.428,85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37EAE" w:rsidRDefault="00A308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=SUM(ABOVE)*100 \# "0,00%"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100,00%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</w:tbl>
    <w:p w:rsidR="00637EAE" w:rsidRDefault="00637EAE">
      <w:pPr>
        <w:pStyle w:val="Encabezado"/>
        <w:tabs>
          <w:tab w:val="clear" w:pos="4419"/>
          <w:tab w:val="clear" w:pos="8838"/>
        </w:tabs>
        <w:ind w:firstLine="708"/>
      </w:pPr>
    </w:p>
    <w:p w:rsidR="00637EAE" w:rsidRDefault="00637EAE">
      <w:pPr>
        <w:pStyle w:val="Encabezado"/>
        <w:tabs>
          <w:tab w:val="clear" w:pos="4419"/>
          <w:tab w:val="clear" w:pos="8838"/>
        </w:tabs>
        <w:ind w:firstLine="708"/>
      </w:pPr>
    </w:p>
    <w:p w:rsidR="001D30F3" w:rsidRDefault="00637EAE">
      <w:pPr>
        <w:pStyle w:val="Encabezado"/>
        <w:tabs>
          <w:tab w:val="clear" w:pos="4419"/>
          <w:tab w:val="clear" w:pos="8838"/>
        </w:tabs>
        <w:ind w:firstLine="708"/>
      </w:pPr>
      <w:r>
        <w:t xml:space="preserve">Se puede destacar como principales variaciones </w:t>
      </w:r>
      <w:r w:rsidR="00A5280B">
        <w:t>al alz</w:t>
      </w:r>
      <w:r w:rsidR="009275D2">
        <w:t>a</w:t>
      </w:r>
      <w:r w:rsidR="005C403D">
        <w:t xml:space="preserve"> </w:t>
      </w:r>
      <w:r>
        <w:t>sobre el</w:t>
      </w:r>
      <w:r w:rsidR="00E46457">
        <w:t xml:space="preserve"> estado de ingresos del</w:t>
      </w:r>
      <w:r>
        <w:t xml:space="preserve"> presupuesto del ejercicio de 2.0</w:t>
      </w:r>
      <w:r w:rsidR="00AF7E33">
        <w:t>1</w:t>
      </w:r>
      <w:r w:rsidR="00AE48ED">
        <w:t>5</w:t>
      </w:r>
      <w:r>
        <w:t xml:space="preserve">, </w:t>
      </w:r>
      <w:r w:rsidR="00C3731A">
        <w:t xml:space="preserve">las correspondientes al impuesto de Bienes Inmuebles de naturaleza urbana, por la liquidación de los trabajos de regularización catastral, el impuesto sobre vehículos, </w:t>
      </w:r>
      <w:r w:rsidR="001D30F3">
        <w:t>y la correspondiente el importe previsto liquidar en el impuesto sobre incremento de valor de los terrenos de naturaleza urbana</w:t>
      </w:r>
      <w:r w:rsidR="00CE0935">
        <w:t xml:space="preserve"> (plusvalía)</w:t>
      </w:r>
      <w:r w:rsidR="001D30F3">
        <w:t xml:space="preserve">, </w:t>
      </w:r>
      <w:r w:rsidR="00A95D56">
        <w:t xml:space="preserve">motivado por el incremento que se está produciendo </w:t>
      </w:r>
      <w:r w:rsidR="00C3731A">
        <w:t>estos dos ejercicios anteriores, no existiendo disminuciones significativas de ingresos.</w:t>
      </w:r>
    </w:p>
    <w:p w:rsidR="000156E5" w:rsidRDefault="001D30F3">
      <w:pPr>
        <w:pStyle w:val="Encabezado"/>
        <w:tabs>
          <w:tab w:val="clear" w:pos="4419"/>
          <w:tab w:val="clear" w:pos="8838"/>
        </w:tabs>
        <w:ind w:firstLine="708"/>
      </w:pPr>
      <w:r>
        <w:t xml:space="preserve"> </w:t>
      </w:r>
    </w:p>
    <w:p w:rsidR="00E27A48" w:rsidRDefault="00CB32ED">
      <w:pPr>
        <w:pStyle w:val="Encabezado"/>
        <w:tabs>
          <w:tab w:val="clear" w:pos="4419"/>
          <w:tab w:val="clear" w:pos="8838"/>
        </w:tabs>
        <w:ind w:firstLine="708"/>
      </w:pPr>
      <w:r>
        <w:t>En el presente ejercicio no se concertarán préstamos a largo plazo para</w:t>
      </w:r>
      <w:r w:rsidR="00637EAE">
        <w:t xml:space="preserve"> la financiación de las</w:t>
      </w:r>
      <w:r w:rsidR="00E27A48">
        <w:t xml:space="preserve"> inversiones, con el objetivo de </w:t>
      </w:r>
      <w:r w:rsidR="00C3731A">
        <w:t>no incrementar el nivel de deuda pública, pero sí se formalizará la operación correspondiente al Fondo de Impuso Económico por importe de 6.009.676,13 euros, de aprobarse por el Ministerio de Hacienda y Administraciones Públicas, para la financiación de un convenio expropiatorio en virtud de una sentencia firme.</w:t>
      </w:r>
    </w:p>
    <w:p w:rsidR="0017022D" w:rsidRDefault="0017022D">
      <w:pPr>
        <w:pStyle w:val="Encabezado"/>
        <w:tabs>
          <w:tab w:val="clear" w:pos="4419"/>
          <w:tab w:val="clear" w:pos="8838"/>
        </w:tabs>
        <w:ind w:firstLine="708"/>
      </w:pPr>
    </w:p>
    <w:p w:rsidR="00637EAE" w:rsidRDefault="00637EAE">
      <w:pPr>
        <w:pStyle w:val="Encabezado"/>
        <w:tabs>
          <w:tab w:val="clear" w:pos="4419"/>
          <w:tab w:val="clear" w:pos="8838"/>
        </w:tabs>
        <w:ind w:firstLine="708"/>
      </w:pPr>
      <w:r>
        <w:t>La previsión del estado de la deuda viva municipal al término de 2.0</w:t>
      </w:r>
      <w:r w:rsidR="00EE6436">
        <w:t>1</w:t>
      </w:r>
      <w:r w:rsidR="00C3731A">
        <w:t>5</w:t>
      </w:r>
      <w:r>
        <w:t xml:space="preserve"> por préstamos es de </w:t>
      </w:r>
      <w:r w:rsidR="00E27A48">
        <w:t>2</w:t>
      </w:r>
      <w:r w:rsidR="00C3731A">
        <w:t>7.</w:t>
      </w:r>
      <w:r w:rsidR="002C341B">
        <w:t>126.826,32</w:t>
      </w:r>
      <w:r w:rsidR="00163F99">
        <w:t xml:space="preserve"> eu</w:t>
      </w:r>
      <w:r>
        <w:t>ros,</w:t>
      </w:r>
      <w:r w:rsidR="00CB32ED">
        <w:t xml:space="preserve"> </w:t>
      </w:r>
      <w:r w:rsidR="00C3731A">
        <w:t xml:space="preserve">(sin tener en cuenta la amortización anticipada que se realizará por aplicación del Remanente de Tesorería, ni la anterior operación del Fondo de Impulso Económico) </w:t>
      </w:r>
      <w:r w:rsidR="0017022D">
        <w:t>que representa el 5</w:t>
      </w:r>
      <w:r w:rsidR="002C341B">
        <w:t>6,93</w:t>
      </w:r>
      <w:r w:rsidR="0017022D">
        <w:t>% de los ingresos corrientes del presupuesto de 2.013</w:t>
      </w:r>
      <w:r w:rsidR="002C341B">
        <w:t>5</w:t>
      </w:r>
      <w:r w:rsidR="0017022D">
        <w:t xml:space="preserve"> </w:t>
      </w:r>
      <w:r w:rsidR="00CB32ED">
        <w:t xml:space="preserve">y </w:t>
      </w:r>
      <w:r>
        <w:t xml:space="preserve">que </w:t>
      </w:r>
      <w:r w:rsidR="00570F51">
        <w:t xml:space="preserve">supone una disminución de la deuda financiera en </w:t>
      </w:r>
      <w:r w:rsidR="002C341B">
        <w:t>3.205.000</w:t>
      </w:r>
      <w:r w:rsidR="00BA6DB6">
        <w:t xml:space="preserve"> euros.</w:t>
      </w:r>
      <w:r w:rsidR="00CB32ED">
        <w:t xml:space="preserve"> </w:t>
      </w:r>
    </w:p>
    <w:p w:rsidR="00637EAE" w:rsidRDefault="00637EAE">
      <w:pPr>
        <w:pStyle w:val="Encabezado"/>
        <w:tabs>
          <w:tab w:val="clear" w:pos="4419"/>
          <w:tab w:val="clear" w:pos="8838"/>
        </w:tabs>
        <w:ind w:firstLine="708"/>
      </w:pPr>
    </w:p>
    <w:p w:rsidR="00637EAE" w:rsidRDefault="00637EAE">
      <w:pPr>
        <w:pStyle w:val="Encabezado"/>
        <w:tabs>
          <w:tab w:val="clear" w:pos="4419"/>
          <w:tab w:val="clear" w:pos="8838"/>
        </w:tabs>
        <w:ind w:firstLine="708"/>
      </w:pPr>
      <w:r>
        <w:lastRenderedPageBreak/>
        <w:t>En cuanto al estado de gastos, la clasificación por capítulos aparece recogida en el siguiente cuadro:</w:t>
      </w:r>
    </w:p>
    <w:p w:rsidR="00637EAE" w:rsidRDefault="00637EAE">
      <w:pPr>
        <w:pStyle w:val="Encabezado"/>
        <w:tabs>
          <w:tab w:val="clear" w:pos="4419"/>
          <w:tab w:val="clear" w:pos="8838"/>
        </w:tabs>
        <w:ind w:firstLine="708"/>
      </w:pPr>
    </w:p>
    <w:tbl>
      <w:tblPr>
        <w:tblW w:w="7485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50"/>
        <w:gridCol w:w="3120"/>
        <w:gridCol w:w="1867"/>
        <w:gridCol w:w="1148"/>
      </w:tblGrid>
      <w:tr w:rsidR="00637EAE" w:rsidTr="00BA4F6F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CAPITULO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DENOMINACIÓN</w:t>
            </w:r>
          </w:p>
        </w:tc>
        <w:tc>
          <w:tcPr>
            <w:tcW w:w="18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PRES.ACTUAL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% S/TOTAL</w:t>
            </w:r>
          </w:p>
        </w:tc>
      </w:tr>
      <w:tr w:rsidR="00D436CA" w:rsidTr="00BA4F6F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436CA" w:rsidRDefault="00D436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CA" w:rsidRDefault="00D436CA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Gastos de personal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6CA" w:rsidRDefault="00DC588A" w:rsidP="00AD591F">
            <w:pPr>
              <w:jc w:val="right"/>
            </w:pPr>
            <w:r>
              <w:t>1</w:t>
            </w:r>
            <w:r w:rsidR="00AD591F">
              <w:t>7.237.631,95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436CA" w:rsidRDefault="00D436CA" w:rsidP="00AD59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</w:t>
            </w:r>
            <w:r w:rsidR="00AD591F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436CA" w:rsidTr="00BA4F6F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436CA" w:rsidRDefault="00D436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CA" w:rsidRDefault="00D436CA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Gastos bienes </w:t>
            </w:r>
            <w:proofErr w:type="spellStart"/>
            <w:r>
              <w:rPr>
                <w:color w:val="000000"/>
              </w:rPr>
              <w:t>ctes</w:t>
            </w:r>
            <w:proofErr w:type="spellEnd"/>
            <w:r>
              <w:rPr>
                <w:color w:val="000000"/>
              </w:rPr>
              <w:t>. y servicios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6CA" w:rsidRDefault="00AD591F" w:rsidP="00DC588A">
            <w:pPr>
              <w:jc w:val="right"/>
            </w:pPr>
            <w:r>
              <w:t>20.226.684,98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436CA" w:rsidRDefault="00D436CA" w:rsidP="00AD59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</w:t>
            </w:r>
            <w:r w:rsidR="00AD591F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436CA" w:rsidTr="00BA4F6F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436CA" w:rsidRDefault="00D436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CA" w:rsidRDefault="00D436CA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Gastos financieros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6CA" w:rsidRDefault="00DC588A" w:rsidP="00AD591F">
            <w:pPr>
              <w:jc w:val="right"/>
            </w:pPr>
            <w:r>
              <w:t>1.</w:t>
            </w:r>
            <w:r w:rsidR="00AD591F">
              <w:t>430</w:t>
            </w:r>
            <w:r>
              <w:t>.</w:t>
            </w:r>
            <w:r w:rsidR="00D436CA">
              <w:t>000,00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436CA" w:rsidRDefault="00AD591F" w:rsidP="00DC58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  <w:r w:rsidR="00D436CA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436CA" w:rsidTr="00BA4F6F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436CA" w:rsidRDefault="00D436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CA" w:rsidRDefault="00D436CA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Transferencias corrientes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6CA" w:rsidRDefault="00DC588A">
            <w:pPr>
              <w:jc w:val="right"/>
            </w:pPr>
            <w:r>
              <w:t>3.</w:t>
            </w:r>
            <w:r w:rsidR="00AD591F">
              <w:t>390.873,46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436CA" w:rsidRDefault="00DC588A" w:rsidP="00AD59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</w:t>
            </w:r>
            <w:r w:rsidR="00AD591F">
              <w:rPr>
                <w:rFonts w:ascii="Arial" w:hAnsi="Arial" w:cs="Arial"/>
                <w:sz w:val="20"/>
                <w:szCs w:val="20"/>
              </w:rPr>
              <w:t>12</w:t>
            </w:r>
            <w:r w:rsidR="00D436CA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C588A" w:rsidTr="00BA4F6F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C588A" w:rsidRDefault="00DC588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88A" w:rsidRDefault="00DC588A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Fondo de Contingencia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588A" w:rsidRDefault="00DC588A">
            <w:pPr>
              <w:jc w:val="right"/>
            </w:pPr>
            <w:r>
              <w:t>200.000,00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C588A" w:rsidRDefault="00AD59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0,42</w:t>
            </w:r>
            <w:r w:rsidR="00DC588A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436CA" w:rsidTr="00BA4F6F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436CA" w:rsidRDefault="00D436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CA" w:rsidRDefault="00D436CA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Inversiones reales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6CA" w:rsidRDefault="00DC588A" w:rsidP="00AD591F">
            <w:pPr>
              <w:jc w:val="right"/>
            </w:pPr>
            <w:r>
              <w:t>1.</w:t>
            </w:r>
            <w:r w:rsidR="00AD591F">
              <w:t>881</w:t>
            </w:r>
            <w:r>
              <w:t>.000</w:t>
            </w:r>
            <w:r w:rsidR="00D436CA">
              <w:t>,00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436CA" w:rsidRDefault="00AD59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</w:t>
            </w:r>
            <w:r w:rsidR="00DC588A">
              <w:rPr>
                <w:rFonts w:ascii="Arial" w:hAnsi="Arial" w:cs="Arial"/>
                <w:sz w:val="20"/>
                <w:szCs w:val="20"/>
              </w:rPr>
              <w:t>5</w:t>
            </w:r>
            <w:r w:rsidR="00D436CA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436CA" w:rsidTr="00BA4F6F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436CA" w:rsidRDefault="00D436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CA" w:rsidRDefault="00D436CA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Transferencias de capital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6CA" w:rsidRDefault="00AD591F" w:rsidP="00DC588A">
            <w:pPr>
              <w:jc w:val="right"/>
            </w:pPr>
            <w:r>
              <w:t>78.238,46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436CA" w:rsidRDefault="00D436CA" w:rsidP="00DC58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AD591F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436CA" w:rsidTr="00BA4F6F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436CA" w:rsidRDefault="00D436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CA" w:rsidRDefault="00D436CA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Activos financieros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6CA" w:rsidRDefault="00D436CA">
            <w:pPr>
              <w:jc w:val="right"/>
            </w:pPr>
            <w:r>
              <w:t>0,00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436CA" w:rsidRDefault="00D436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D436CA" w:rsidTr="00BA4F6F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436CA" w:rsidRDefault="00D436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CA" w:rsidRDefault="00D436CA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Pasivos financieros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6CA" w:rsidRDefault="00AD591F">
            <w:pPr>
              <w:jc w:val="right"/>
            </w:pPr>
            <w:r>
              <w:t>3.205.000,00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436CA" w:rsidRDefault="00AD59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6,73</w:t>
            </w:r>
            <w:r w:rsidR="00D436CA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637EAE" w:rsidTr="00BA4F6F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37EAE" w:rsidRDefault="00637EAE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37EAE" w:rsidRDefault="00D436CA" w:rsidP="00B47BF3">
            <w:pPr>
              <w:tabs>
                <w:tab w:val="center" w:pos="870"/>
                <w:tab w:val="right" w:pos="17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fldChar w:fldCharType="end"/>
            </w:r>
            <w:r w:rsidR="00AD591F">
              <w:rPr>
                <w:b/>
                <w:bCs/>
                <w:color w:val="000000"/>
              </w:rPr>
              <w:t>7.649.428,85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37EAE" w:rsidRDefault="00A308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=SUM(ABOVE)*100 \# "0,00%"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100,00%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</w:tbl>
    <w:p w:rsidR="00637EAE" w:rsidRDefault="00637EAE">
      <w:pPr>
        <w:pStyle w:val="Encabezado"/>
        <w:tabs>
          <w:tab w:val="clear" w:pos="4419"/>
          <w:tab w:val="clear" w:pos="8838"/>
        </w:tabs>
        <w:ind w:firstLine="708"/>
      </w:pPr>
    </w:p>
    <w:p w:rsidR="00AD3EE7" w:rsidRDefault="00637EAE" w:rsidP="00AD3EE7">
      <w:pPr>
        <w:ind w:firstLine="708"/>
      </w:pPr>
      <w:r>
        <w:t xml:space="preserve">La cifra de gastos de personal por </w:t>
      </w:r>
      <w:r w:rsidR="00AD3EE7">
        <w:t>1</w:t>
      </w:r>
      <w:r w:rsidR="00D72ED9">
        <w:t>7.237.631,95</w:t>
      </w:r>
      <w:r w:rsidR="00AD3EE7">
        <w:t xml:space="preserve"> eu</w:t>
      </w:r>
      <w:r w:rsidR="00BA6DB6">
        <w:t>ros</w:t>
      </w:r>
      <w:r w:rsidR="00A11304">
        <w:t xml:space="preserve"> </w:t>
      </w:r>
      <w:r w:rsidR="007631C1">
        <w:t>supone</w:t>
      </w:r>
      <w:r w:rsidR="00A11304">
        <w:t xml:space="preserve"> un</w:t>
      </w:r>
      <w:r w:rsidR="00D72ED9">
        <w:t xml:space="preserve"> incremento</w:t>
      </w:r>
      <w:r w:rsidR="000C0560">
        <w:t xml:space="preserve"> de</w:t>
      </w:r>
      <w:r w:rsidR="00AD3EE7">
        <w:t xml:space="preserve"> </w:t>
      </w:r>
      <w:r w:rsidR="00D72ED9">
        <w:t>326.669,93</w:t>
      </w:r>
      <w:r w:rsidR="00AD3EE7">
        <w:t xml:space="preserve"> e</w:t>
      </w:r>
      <w:r w:rsidR="000C0560">
        <w:t xml:space="preserve">uros, que representa </w:t>
      </w:r>
      <w:r>
        <w:t>el</w:t>
      </w:r>
      <w:r w:rsidR="00BA6DB6">
        <w:t xml:space="preserve"> </w:t>
      </w:r>
      <w:r w:rsidR="00D72ED9">
        <w:t>1,93</w:t>
      </w:r>
      <w:r w:rsidR="00AD3EE7">
        <w:t>% respecto al 201</w:t>
      </w:r>
      <w:r w:rsidR="00D72ED9">
        <w:t>4, motivado fundamentalmente por la nueva implantación de la concesión de ayudas sociales a los funcionarios por importe de 90.00 euros, que fueron suprimidas, y que en 2.016 se incrementarán aun más hasta alcanzar el 0,8% de la masa salarial.</w:t>
      </w:r>
    </w:p>
    <w:p w:rsidR="00BA6DB6" w:rsidRDefault="00AD3EE7" w:rsidP="00AD3EE7">
      <w:r>
        <w:tab/>
        <w:t xml:space="preserve"> </w:t>
      </w:r>
    </w:p>
    <w:p w:rsidR="005F742F" w:rsidRDefault="00637EAE">
      <w:pPr>
        <w:pStyle w:val="Encabezado"/>
        <w:tabs>
          <w:tab w:val="clear" w:pos="4419"/>
          <w:tab w:val="clear" w:pos="8838"/>
        </w:tabs>
        <w:ind w:firstLine="708"/>
      </w:pPr>
      <w:r>
        <w:t xml:space="preserve">Los Gastos en Bienes Corrientes y Servicios </w:t>
      </w:r>
      <w:r w:rsidR="00D72ED9">
        <w:t>se incrementan</w:t>
      </w:r>
      <w:r w:rsidR="00A11304">
        <w:t xml:space="preserve"> e</w:t>
      </w:r>
      <w:r w:rsidR="00291ADF">
        <w:t xml:space="preserve">n un </w:t>
      </w:r>
      <w:r w:rsidR="00B47BF3">
        <w:t>2,09</w:t>
      </w:r>
      <w:r w:rsidR="00156A5F">
        <w:t xml:space="preserve">%, motivado, </w:t>
      </w:r>
      <w:r w:rsidR="003748B8">
        <w:t xml:space="preserve">entre otras razones, </w:t>
      </w:r>
      <w:r w:rsidR="005F742F">
        <w:t xml:space="preserve">por asumir </w:t>
      </w:r>
      <w:r w:rsidR="00D72ED9">
        <w:t>el coste de las condenas en costas, y el coste del depósito de los vehículos retirados correspondientes a la anterior contrata.</w:t>
      </w:r>
    </w:p>
    <w:p w:rsidR="00D72ED9" w:rsidRDefault="00D72ED9">
      <w:pPr>
        <w:pStyle w:val="Encabezado"/>
        <w:tabs>
          <w:tab w:val="clear" w:pos="4419"/>
          <w:tab w:val="clear" w:pos="8838"/>
        </w:tabs>
        <w:ind w:firstLine="708"/>
      </w:pPr>
    </w:p>
    <w:p w:rsidR="004C1C05" w:rsidRDefault="00637EAE">
      <w:pPr>
        <w:pStyle w:val="Encabezado"/>
        <w:tabs>
          <w:tab w:val="clear" w:pos="4419"/>
          <w:tab w:val="clear" w:pos="8838"/>
        </w:tabs>
        <w:ind w:firstLine="708"/>
      </w:pPr>
      <w:r>
        <w:t>El nivel de endeudamiento de la Corporación previsto para el 2.0</w:t>
      </w:r>
      <w:r w:rsidR="00A11304">
        <w:t>1</w:t>
      </w:r>
      <w:r w:rsidR="00DB7E31">
        <w:t>5</w:t>
      </w:r>
      <w:r>
        <w:t xml:space="preserve">, medido por la relación entre la carga financiera (suma de los capítulos 3 y 9 de gastos excluido las que no corresponden a préstamos) y los ingresos corrientes estimados, representa el </w:t>
      </w:r>
      <w:r w:rsidR="00DB7C2E">
        <w:t>8,78%</w:t>
      </w:r>
      <w:r>
        <w:t>, lo que implica un</w:t>
      </w:r>
      <w:r w:rsidR="00F07B8B">
        <w:t>a disminución</w:t>
      </w:r>
      <w:r>
        <w:t xml:space="preserve"> del </w:t>
      </w:r>
      <w:r w:rsidR="00DB7C2E">
        <w:t>0,49</w:t>
      </w:r>
      <w:r>
        <w:t>% respecto del ejercicio anterior</w:t>
      </w:r>
      <w:r w:rsidR="001A67E8">
        <w:t>, motivado</w:t>
      </w:r>
      <w:r w:rsidR="00A11304">
        <w:t xml:space="preserve"> </w:t>
      </w:r>
      <w:r w:rsidR="004C1C05">
        <w:t xml:space="preserve">fundamentalmente </w:t>
      </w:r>
      <w:r w:rsidR="00A11304">
        <w:t xml:space="preserve">por </w:t>
      </w:r>
      <w:r w:rsidR="00F07B8B">
        <w:t xml:space="preserve">la refinanciación de </w:t>
      </w:r>
      <w:r w:rsidR="00DB7C2E">
        <w:t>los</w:t>
      </w:r>
      <w:r w:rsidR="00F07B8B">
        <w:t xml:space="preserve"> préstamos </w:t>
      </w:r>
      <w:r w:rsidR="00DB7C2E">
        <w:t>del Fondo de Pagos a Proveedores</w:t>
      </w:r>
      <w:r w:rsidR="00F153D4">
        <w:t>.</w:t>
      </w:r>
    </w:p>
    <w:p w:rsidR="00F07B8B" w:rsidRDefault="00F07B8B">
      <w:pPr>
        <w:pStyle w:val="Encabezado"/>
        <w:tabs>
          <w:tab w:val="clear" w:pos="4419"/>
          <w:tab w:val="clear" w:pos="8838"/>
        </w:tabs>
        <w:ind w:firstLine="708"/>
      </w:pPr>
    </w:p>
    <w:p w:rsidR="006A1843" w:rsidRDefault="00637EAE" w:rsidP="007D3D8E">
      <w:pPr>
        <w:pStyle w:val="Encabezado"/>
        <w:tabs>
          <w:tab w:val="clear" w:pos="4419"/>
          <w:tab w:val="clear" w:pos="8838"/>
        </w:tabs>
        <w:ind w:firstLine="708"/>
      </w:pPr>
      <w:r>
        <w:t xml:space="preserve">El capítulo de transferencias corrientes está cifrado en </w:t>
      </w:r>
      <w:r w:rsidR="001A67E8">
        <w:t>3.</w:t>
      </w:r>
      <w:r w:rsidR="00DB7C2E">
        <w:t>390.873,46</w:t>
      </w:r>
      <w:r>
        <w:t xml:space="preserve"> euros, representando un </w:t>
      </w:r>
      <w:r w:rsidR="00504E70">
        <w:t>incremento</w:t>
      </w:r>
      <w:r>
        <w:t xml:space="preserve"> del </w:t>
      </w:r>
      <w:r w:rsidR="00DB7C2E">
        <w:t>4,19</w:t>
      </w:r>
      <w:r w:rsidR="00E43B7C">
        <w:t>%</w:t>
      </w:r>
      <w:r>
        <w:t xml:space="preserve"> respecto del año 2.0</w:t>
      </w:r>
      <w:r w:rsidR="00E43B7C">
        <w:t>1</w:t>
      </w:r>
      <w:r w:rsidR="00DB7C2E">
        <w:t>4</w:t>
      </w:r>
      <w:r>
        <w:t xml:space="preserve">, motivado fundamentalmente por </w:t>
      </w:r>
      <w:r w:rsidR="00504E70">
        <w:t>el</w:t>
      </w:r>
      <w:r w:rsidR="007D3D8E">
        <w:t xml:space="preserve"> </w:t>
      </w:r>
      <w:r w:rsidR="00504E70">
        <w:t>incremento</w:t>
      </w:r>
      <w:r w:rsidR="007D3D8E">
        <w:t xml:space="preserve"> de la aportación al CREAMA</w:t>
      </w:r>
      <w:r w:rsidR="00504E70">
        <w:t xml:space="preserve"> para el plan de empleo</w:t>
      </w:r>
      <w:r w:rsidR="00DB7C2E">
        <w:t>, en 80.000 euros.</w:t>
      </w:r>
    </w:p>
    <w:p w:rsidR="007D3D8E" w:rsidRDefault="007D3D8E" w:rsidP="007D3D8E">
      <w:pPr>
        <w:pStyle w:val="Encabezado"/>
        <w:tabs>
          <w:tab w:val="clear" w:pos="4419"/>
          <w:tab w:val="clear" w:pos="8838"/>
        </w:tabs>
        <w:ind w:firstLine="708"/>
      </w:pPr>
    </w:p>
    <w:p w:rsidR="00161E85" w:rsidRDefault="00504E70">
      <w:pPr>
        <w:pStyle w:val="Encabezado"/>
        <w:tabs>
          <w:tab w:val="clear" w:pos="4419"/>
          <w:tab w:val="clear" w:pos="8838"/>
        </w:tabs>
        <w:ind w:firstLine="708"/>
      </w:pPr>
      <w:r>
        <w:t xml:space="preserve">Las </w:t>
      </w:r>
      <w:r w:rsidR="00AB34DC">
        <w:t xml:space="preserve"> inversiones previstas</w:t>
      </w:r>
      <w:r>
        <w:t xml:space="preserve"> por 1.</w:t>
      </w:r>
      <w:r w:rsidR="00DB7C2E">
        <w:t>881</w:t>
      </w:r>
      <w:r>
        <w:t>.000 euros</w:t>
      </w:r>
      <w:r w:rsidR="00AB34DC">
        <w:t>,</w:t>
      </w:r>
      <w:r>
        <w:t xml:space="preserve"> corresponde</w:t>
      </w:r>
      <w:r w:rsidR="00B07D93">
        <w:t>n</w:t>
      </w:r>
      <w:r>
        <w:t xml:space="preserve"> prácticamente en su totalidad para el pago de expropiaciones de reservas de aprovechamiento en virtud de convenios firmados y ejecuciones de sentencias.</w:t>
      </w:r>
    </w:p>
    <w:p w:rsidR="008C3568" w:rsidRDefault="008C3568">
      <w:pPr>
        <w:pStyle w:val="Encabezado"/>
        <w:tabs>
          <w:tab w:val="clear" w:pos="4419"/>
          <w:tab w:val="clear" w:pos="8838"/>
        </w:tabs>
        <w:ind w:firstLine="708"/>
      </w:pPr>
    </w:p>
    <w:p w:rsidR="005B1443" w:rsidRDefault="00637EAE">
      <w:pPr>
        <w:pStyle w:val="Encabezado"/>
        <w:tabs>
          <w:tab w:val="clear" w:pos="4419"/>
          <w:tab w:val="clear" w:pos="8838"/>
        </w:tabs>
        <w:ind w:firstLine="708"/>
      </w:pPr>
      <w:r>
        <w:t xml:space="preserve">En el capítulo de transferencias de capital por importe de </w:t>
      </w:r>
      <w:r w:rsidR="001C084C">
        <w:t>78.238,46</w:t>
      </w:r>
      <w:r w:rsidR="00AB34DC">
        <w:t xml:space="preserve"> </w:t>
      </w:r>
      <w:r>
        <w:t>euros,</w:t>
      </w:r>
      <w:r w:rsidR="00F96721">
        <w:t xml:space="preserve"> </w:t>
      </w:r>
      <w:r w:rsidR="00B07D93">
        <w:t xml:space="preserve">la aportación municipal por el </w:t>
      </w:r>
      <w:r w:rsidR="001C084C">
        <w:t>proyecto de instalación del aire acondicionado del mercado</w:t>
      </w:r>
      <w:r w:rsidR="00B07D93">
        <w:t xml:space="preserve">, por importe de </w:t>
      </w:r>
      <w:r w:rsidR="001C084C">
        <w:t>52.000 euros</w:t>
      </w:r>
      <w:r w:rsidR="00B07D93">
        <w:t>,</w:t>
      </w:r>
      <w:r w:rsidR="001C084C">
        <w:t xml:space="preserve"> por la reurbanización de la calle </w:t>
      </w:r>
      <w:proofErr w:type="spellStart"/>
      <w:r w:rsidR="001C084C">
        <w:t>Fontanella</w:t>
      </w:r>
      <w:proofErr w:type="spellEnd"/>
      <w:r w:rsidR="001C084C">
        <w:t xml:space="preserve">, correspondiendo a la anualidad de 2.015, la cantidad de 538,46 euros , y a la de </w:t>
      </w:r>
      <w:r w:rsidR="00C37976">
        <w:t>2</w:t>
      </w:r>
      <w:r w:rsidR="001C084C">
        <w:t>.016</w:t>
      </w:r>
      <w:r w:rsidR="00C37976">
        <w:t>,</w:t>
      </w:r>
      <w:r w:rsidR="001C084C">
        <w:t xml:space="preserve"> </w:t>
      </w:r>
      <w:r w:rsidR="001C084C">
        <w:lastRenderedPageBreak/>
        <w:t>de 274.211,54 euros</w:t>
      </w:r>
      <w:r w:rsidR="00C37976">
        <w:t xml:space="preserve">, </w:t>
      </w:r>
      <w:r w:rsidR="00B07D93">
        <w:t xml:space="preserve">y </w:t>
      </w:r>
      <w:r w:rsidR="00C37976">
        <w:t xml:space="preserve">25.000 euros </w:t>
      </w:r>
      <w:r w:rsidR="00B07D93">
        <w:t xml:space="preserve">a la EATIM de Jesús Pobre </w:t>
      </w:r>
      <w:r w:rsidR="00C37976">
        <w:t>p</w:t>
      </w:r>
      <w:r w:rsidR="00B07D93">
        <w:t>ara la realización de inversiones</w:t>
      </w:r>
      <w:r w:rsidR="00C37976">
        <w:t>.</w:t>
      </w:r>
    </w:p>
    <w:p w:rsidR="00C37976" w:rsidRDefault="00C37976">
      <w:pPr>
        <w:pStyle w:val="Encabezado"/>
        <w:tabs>
          <w:tab w:val="clear" w:pos="4419"/>
          <w:tab w:val="clear" w:pos="8838"/>
        </w:tabs>
        <w:ind w:firstLine="708"/>
      </w:pPr>
    </w:p>
    <w:p w:rsidR="00C37976" w:rsidRDefault="00D90326">
      <w:pPr>
        <w:pStyle w:val="Encabezado"/>
        <w:tabs>
          <w:tab w:val="clear" w:pos="4419"/>
          <w:tab w:val="clear" w:pos="8838"/>
        </w:tabs>
        <w:ind w:firstLine="708"/>
      </w:pPr>
      <w:r>
        <w:t>En el presupuesto para 2.01</w:t>
      </w:r>
      <w:r w:rsidR="00C37976">
        <w:t>5</w:t>
      </w:r>
      <w:r w:rsidR="005B1443">
        <w:t xml:space="preserve">, se </w:t>
      </w:r>
      <w:r w:rsidR="004A61CB">
        <w:t>ha</w:t>
      </w:r>
      <w:r w:rsidR="005B1443">
        <w:t xml:space="preserve"> manten</w:t>
      </w:r>
      <w:r w:rsidR="004A61CB">
        <w:t>ido el gasto social respecto el ejercicio anterior</w:t>
      </w:r>
      <w:r w:rsidR="005B1443">
        <w:t>, en apartados como</w:t>
      </w:r>
      <w:r w:rsidR="008C3568">
        <w:t xml:space="preserve"> ayudas a colectivos desfavorecidos</w:t>
      </w:r>
      <w:r w:rsidR="005B1443">
        <w:t xml:space="preserve"> </w:t>
      </w:r>
      <w:r w:rsidR="008C3568">
        <w:t xml:space="preserve">para el pago del IBI y la tasa de residuos urbanos, conforme al acuerdo adoptado por el Pleno en sesión celebrada el 2 de noviembre de 2.011, </w:t>
      </w:r>
      <w:r w:rsidR="005B1443">
        <w:t>con la inclusión de un crédito</w:t>
      </w:r>
      <w:r w:rsidR="00156A5F">
        <w:t xml:space="preserve"> inicial</w:t>
      </w:r>
      <w:r>
        <w:t xml:space="preserve"> de 100.000 euros, </w:t>
      </w:r>
      <w:r w:rsidR="004A61CB">
        <w:t xml:space="preserve">la renta garantizada de ciudadanía, subvencionado por la Generalitat Valenciana, </w:t>
      </w:r>
      <w:r w:rsidR="00C37976">
        <w:t>y la ayuda para libros de texto, y se ha incrementado en otros apartados como la ayuda a comedores, por 20.000 euros.</w:t>
      </w:r>
    </w:p>
    <w:p w:rsidR="008C3568" w:rsidRDefault="00C37976">
      <w:pPr>
        <w:pStyle w:val="Encabezado"/>
        <w:tabs>
          <w:tab w:val="clear" w:pos="4419"/>
          <w:tab w:val="clear" w:pos="8838"/>
        </w:tabs>
        <w:ind w:firstLine="708"/>
      </w:pPr>
      <w:r>
        <w:t xml:space="preserve"> </w:t>
      </w:r>
    </w:p>
    <w:p w:rsidR="00637EAE" w:rsidRDefault="00637EAE">
      <w:pPr>
        <w:pStyle w:val="Encabezado"/>
        <w:tabs>
          <w:tab w:val="clear" w:pos="4419"/>
          <w:tab w:val="clear" w:pos="8838"/>
        </w:tabs>
        <w:ind w:firstLine="708"/>
      </w:pPr>
      <w:r>
        <w:t>Por todo ello, esta Alcaldía, presenta este proyecto de presupuesto</w:t>
      </w:r>
      <w:r w:rsidR="00C37976">
        <w:t xml:space="preserve"> para el ejercicio de 2.015</w:t>
      </w:r>
      <w:r w:rsidR="00C704E7">
        <w:t>, que cumple la Ley Orgánica 2/2012, de 27 de Abril, de Estabilidad Presupuestaria y Sostenibilidad Presupuestaria,</w:t>
      </w:r>
      <w:r>
        <w:t xml:space="preserve"> para su discusión y aprobación si procede por el Pleno</w:t>
      </w:r>
      <w:r w:rsidR="00C704E7">
        <w:t xml:space="preserve"> del M.I. Ayuntamiento de </w:t>
      </w:r>
      <w:proofErr w:type="spellStart"/>
      <w:r w:rsidR="00C704E7">
        <w:t>Dénia</w:t>
      </w:r>
      <w:proofErr w:type="spellEnd"/>
      <w:r w:rsidR="00C704E7">
        <w:t>.</w:t>
      </w:r>
    </w:p>
    <w:p w:rsidR="00637EAE" w:rsidRDefault="00637EAE">
      <w:pPr>
        <w:pStyle w:val="Encabezado"/>
        <w:tabs>
          <w:tab w:val="clear" w:pos="4419"/>
          <w:tab w:val="clear" w:pos="8838"/>
        </w:tabs>
        <w:ind w:firstLine="708"/>
      </w:pPr>
    </w:p>
    <w:p w:rsidR="00637EAE" w:rsidRDefault="00C81DBE">
      <w:pPr>
        <w:pStyle w:val="Encabezado"/>
        <w:tabs>
          <w:tab w:val="clear" w:pos="4419"/>
          <w:tab w:val="clear" w:pos="8838"/>
        </w:tabs>
        <w:ind w:firstLine="708"/>
        <w:jc w:val="center"/>
      </w:pPr>
      <w:r>
        <w:t xml:space="preserve">En </w:t>
      </w:r>
      <w:proofErr w:type="spellStart"/>
      <w:r>
        <w:t>Dénia</w:t>
      </w:r>
      <w:proofErr w:type="spellEnd"/>
      <w:r>
        <w:t xml:space="preserve"> a </w:t>
      </w:r>
      <w:r w:rsidR="00C37976">
        <w:t>24</w:t>
      </w:r>
      <w:r w:rsidR="00637EAE">
        <w:t xml:space="preserve"> de </w:t>
      </w:r>
      <w:r w:rsidR="00C37976">
        <w:t>julio</w:t>
      </w:r>
      <w:r w:rsidR="00637EAE">
        <w:t xml:space="preserve"> de 2.0</w:t>
      </w:r>
      <w:r w:rsidR="00277750">
        <w:t>1</w:t>
      </w:r>
      <w:r w:rsidR="00C37976">
        <w:t>5</w:t>
      </w:r>
      <w:r w:rsidR="00637EAE">
        <w:t>.</w:t>
      </w:r>
    </w:p>
    <w:p w:rsidR="00637EAE" w:rsidRDefault="0069342D">
      <w:pPr>
        <w:pStyle w:val="Encabezado"/>
        <w:tabs>
          <w:tab w:val="clear" w:pos="4419"/>
          <w:tab w:val="clear" w:pos="8838"/>
        </w:tabs>
        <w:ind w:firstLine="708"/>
        <w:jc w:val="center"/>
      </w:pPr>
      <w:r>
        <w:t>EL</w:t>
      </w:r>
      <w:r w:rsidR="00637EAE">
        <w:t xml:space="preserve"> ALCALDE.</w:t>
      </w:r>
    </w:p>
    <w:p w:rsidR="00D441C0" w:rsidRDefault="00D441C0">
      <w:pPr>
        <w:pStyle w:val="Encabezado"/>
        <w:tabs>
          <w:tab w:val="clear" w:pos="4419"/>
          <w:tab w:val="clear" w:pos="8838"/>
        </w:tabs>
        <w:ind w:firstLine="708"/>
        <w:jc w:val="center"/>
      </w:pPr>
    </w:p>
    <w:p w:rsidR="00D441C0" w:rsidRDefault="00D441C0">
      <w:pPr>
        <w:pStyle w:val="Encabezado"/>
        <w:tabs>
          <w:tab w:val="clear" w:pos="4419"/>
          <w:tab w:val="clear" w:pos="8838"/>
        </w:tabs>
        <w:ind w:firstLine="708"/>
        <w:jc w:val="center"/>
      </w:pPr>
    </w:p>
    <w:p w:rsidR="00D441C0" w:rsidRDefault="00D441C0">
      <w:pPr>
        <w:pStyle w:val="Encabezado"/>
        <w:tabs>
          <w:tab w:val="clear" w:pos="4419"/>
          <w:tab w:val="clear" w:pos="8838"/>
        </w:tabs>
        <w:ind w:firstLine="708"/>
        <w:jc w:val="center"/>
      </w:pPr>
    </w:p>
    <w:p w:rsidR="00D441C0" w:rsidRDefault="00D441C0">
      <w:pPr>
        <w:pStyle w:val="Encabezado"/>
        <w:tabs>
          <w:tab w:val="clear" w:pos="4419"/>
          <w:tab w:val="clear" w:pos="8838"/>
        </w:tabs>
        <w:ind w:firstLine="708"/>
        <w:jc w:val="center"/>
      </w:pPr>
    </w:p>
    <w:p w:rsidR="00D441C0" w:rsidRDefault="00D441C0">
      <w:pPr>
        <w:pStyle w:val="Encabezado"/>
        <w:tabs>
          <w:tab w:val="clear" w:pos="4419"/>
          <w:tab w:val="clear" w:pos="8838"/>
        </w:tabs>
        <w:ind w:firstLine="708"/>
        <w:jc w:val="center"/>
      </w:pPr>
    </w:p>
    <w:p w:rsidR="00637EAE" w:rsidRDefault="004A17D6" w:rsidP="004A17D6">
      <w:pPr>
        <w:pStyle w:val="Encabezado"/>
        <w:tabs>
          <w:tab w:val="clear" w:pos="4419"/>
          <w:tab w:val="clear" w:pos="8838"/>
        </w:tabs>
        <w:ind w:firstLine="708"/>
        <w:jc w:val="center"/>
      </w:pPr>
      <w:r>
        <w:t xml:space="preserve">Fdo. </w:t>
      </w:r>
      <w:r w:rsidR="0069342D">
        <w:t xml:space="preserve">Vicente </w:t>
      </w:r>
      <w:proofErr w:type="spellStart"/>
      <w:r w:rsidR="0069342D">
        <w:t>Grimalt</w:t>
      </w:r>
      <w:proofErr w:type="spellEnd"/>
      <w:r w:rsidR="0069342D">
        <w:t xml:space="preserve"> Boronat</w:t>
      </w:r>
    </w:p>
    <w:sectPr w:rsidR="00637EAE">
      <w:headerReference w:type="default" r:id="rId6"/>
      <w:pgSz w:w="11907" w:h="16840" w:code="9"/>
      <w:pgMar w:top="1985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84C" w:rsidRDefault="001C084C">
      <w:r>
        <w:separator/>
      </w:r>
    </w:p>
  </w:endnote>
  <w:endnote w:type="continuationSeparator" w:id="0">
    <w:p w:rsidR="001C084C" w:rsidRDefault="001C0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84C" w:rsidRDefault="001C084C">
      <w:r>
        <w:separator/>
      </w:r>
    </w:p>
  </w:footnote>
  <w:footnote w:type="continuationSeparator" w:id="0">
    <w:p w:rsidR="001C084C" w:rsidRDefault="001C0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4C" w:rsidRDefault="001C084C">
    <w:pPr>
      <w:pStyle w:val="Encabezado"/>
      <w:rPr>
        <w:rFonts w:ascii="Book Antiqua" w:hAnsi="Book Antiqua"/>
        <w:b/>
        <w:sz w:val="44"/>
      </w:rPr>
    </w:pPr>
    <w:r>
      <w:rPr>
        <w:rFonts w:ascii="Book Antiqua" w:hAnsi="Book Antiqua"/>
        <w:b/>
        <w:noProof/>
        <w:sz w:val="20"/>
      </w:rPr>
      <w:pict>
        <v:group id="_x0000_s1043" style="position:absolute;left:0;text-align:left;margin-left:-78pt;margin-top:-8.75pt;width:364.85pt;height:682.1pt;z-index:251657728" coordorigin="141,545" coordsize="7297,1364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861;top:545;width:734;height:1182" filled="f" stroked="f">
            <v:textbox style="mso-next-textbox:#_x0000_s1029" inset="1mm,,1mm">
              <w:txbxContent>
                <w:p w:rsidR="001C084C" w:rsidRDefault="001C084C">
                  <w:pPr>
                    <w:jc w:val="right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0.75pt;height:50.25pt">
                        <v:imagedata r:id="rId1" o:title="EscudoWord"/>
                      </v:shape>
                    </w:pict>
                  </w:r>
                </w:p>
              </w:txbxContent>
            </v:textbox>
          </v:shape>
          <v:shape id="_x0000_s1030" type="#_x0000_t202" style="position:absolute;left:4465;top:6161;width:2973;height:4524" o:allowincell="f" filled="f" stroked="f">
            <v:textbox>
              <w:txbxContent>
                <w:p w:rsidR="001C084C" w:rsidRDefault="001C084C">
                  <w:r>
                    <w:pict>
                      <v:shape id="_x0000_i1026" type="#_x0000_t75" style="width:134.25pt;height:219pt">
                        <v:imagedata r:id="rId1" o:title="EscudoWord" gain="19661f" blacklevel="28180f"/>
                      </v:shape>
                    </w:pict>
                  </w:r>
                </w:p>
              </w:txbxContent>
            </v:textbox>
          </v:shape>
          <v:shape id="_x0000_s1042" type="#_x0000_t202" style="position:absolute;left:141;top:2847;width:480;height:11340" o:allowincell="f" filled="f" stroked="f">
            <v:textbox style="layout-flow:vertical;mso-layout-flow-alt:bottom-to-top">
              <w:txbxContent>
                <w:p w:rsidR="001C084C" w:rsidRDefault="001C084C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 xml:space="preserve">M. I. </w:t>
                  </w:r>
                  <w:r>
                    <w:rPr>
                      <w:sz w:val="12"/>
                    </w:rPr>
                    <w:t xml:space="preserve">AJUNTAMENT DE DÉNIA </w:t>
                  </w:r>
                  <w:r>
                    <w:rPr>
                      <w:sz w:val="12"/>
                    </w:rPr>
                    <w:sym w:font="Symbol" w:char="F0B7"/>
                  </w:r>
                  <w:r>
                    <w:rPr>
                      <w:sz w:val="12"/>
                    </w:rPr>
                    <w:t xml:space="preserve"> C.I.F.: P-0306300-E  </w:t>
                  </w:r>
                  <w:r>
                    <w:rPr>
                      <w:sz w:val="12"/>
                    </w:rPr>
                    <w:sym w:font="Symbol" w:char="F0B7"/>
                  </w:r>
                  <w:r>
                    <w:rPr>
                      <w:sz w:val="12"/>
                    </w:rPr>
                    <w:t xml:space="preserve"> PL.CONSTITUCIÓ, 10 </w:t>
                  </w:r>
                  <w:r>
                    <w:rPr>
                      <w:sz w:val="12"/>
                    </w:rPr>
                    <w:sym w:font="Symbol" w:char="F0B7"/>
                  </w:r>
                  <w:r>
                    <w:rPr>
                      <w:sz w:val="12"/>
                    </w:rPr>
                    <w:t xml:space="preserve"> 03700 DÉNIA </w:t>
                  </w:r>
                  <w:r>
                    <w:rPr>
                      <w:sz w:val="12"/>
                    </w:rPr>
                    <w:sym w:font="Symbol" w:char="F0B7"/>
                  </w:r>
                  <w:r>
                    <w:rPr>
                      <w:sz w:val="12"/>
                    </w:rPr>
                    <w:t xml:space="preserve"> TFNO. 96 578 01 00 – FAX: 96 578 58 23 </w:t>
                  </w:r>
                </w:p>
              </w:txbxContent>
            </v:textbox>
          </v:shape>
        </v:group>
      </w:pict>
    </w:r>
    <w:r>
      <w:rPr>
        <w:rFonts w:ascii="Book Antiqua" w:hAnsi="Book Antiqua"/>
        <w:b/>
        <w:sz w:val="44"/>
      </w:rPr>
      <w:t>AJUNTAMENT DE DÉNIA</w:t>
    </w:r>
  </w:p>
  <w:p w:rsidR="001C084C" w:rsidRDefault="001C084C">
    <w:pPr>
      <w:pStyle w:val="Encabezado"/>
      <w:tabs>
        <w:tab w:val="clear" w:pos="4419"/>
        <w:tab w:val="clear" w:pos="8838"/>
      </w:tabs>
      <w:ind w:right="2865"/>
      <w:jc w:val="center"/>
      <w:rPr>
        <w:rFonts w:ascii="Bookman Old Style" w:hAnsi="Bookman Old Style"/>
        <w:i/>
        <w:sz w:val="22"/>
      </w:rPr>
    </w:pPr>
    <w:r>
      <w:rPr>
        <w:i/>
        <w:sz w:val="22"/>
      </w:rPr>
      <w:t>SERVEIS ECONOMICS</w:t>
    </w:r>
  </w:p>
  <w:p w:rsidR="001C084C" w:rsidRDefault="001C084C">
    <w:pPr>
      <w:pStyle w:val="Encabezado"/>
      <w:tabs>
        <w:tab w:val="clear" w:pos="4419"/>
        <w:tab w:val="clear" w:pos="8838"/>
      </w:tabs>
      <w:ind w:right="286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AE"/>
    <w:rsid w:val="000156E5"/>
    <w:rsid w:val="0003111B"/>
    <w:rsid w:val="00060061"/>
    <w:rsid w:val="000C01A2"/>
    <w:rsid w:val="000C0560"/>
    <w:rsid w:val="000D34BB"/>
    <w:rsid w:val="000D6E91"/>
    <w:rsid w:val="000D7C98"/>
    <w:rsid w:val="0010335B"/>
    <w:rsid w:val="001356A5"/>
    <w:rsid w:val="00156A5F"/>
    <w:rsid w:val="00161E85"/>
    <w:rsid w:val="00163F99"/>
    <w:rsid w:val="0017022D"/>
    <w:rsid w:val="0017705D"/>
    <w:rsid w:val="001A67E8"/>
    <w:rsid w:val="001A6831"/>
    <w:rsid w:val="001B47B3"/>
    <w:rsid w:val="001C084C"/>
    <w:rsid w:val="001D30F3"/>
    <w:rsid w:val="00202F06"/>
    <w:rsid w:val="00204E11"/>
    <w:rsid w:val="00242569"/>
    <w:rsid w:val="002624BC"/>
    <w:rsid w:val="00277750"/>
    <w:rsid w:val="0028638C"/>
    <w:rsid w:val="00286B9E"/>
    <w:rsid w:val="00291ADF"/>
    <w:rsid w:val="002B29BD"/>
    <w:rsid w:val="002C341B"/>
    <w:rsid w:val="002E05DB"/>
    <w:rsid w:val="003611FE"/>
    <w:rsid w:val="003748B8"/>
    <w:rsid w:val="003D4671"/>
    <w:rsid w:val="004549E8"/>
    <w:rsid w:val="00456870"/>
    <w:rsid w:val="004663A7"/>
    <w:rsid w:val="00471023"/>
    <w:rsid w:val="00475FB8"/>
    <w:rsid w:val="004A17D6"/>
    <w:rsid w:val="004A61CB"/>
    <w:rsid w:val="004A6FED"/>
    <w:rsid w:val="004C1C05"/>
    <w:rsid w:val="004C2987"/>
    <w:rsid w:val="0050272F"/>
    <w:rsid w:val="00504E70"/>
    <w:rsid w:val="00523B2C"/>
    <w:rsid w:val="00526D44"/>
    <w:rsid w:val="00545418"/>
    <w:rsid w:val="00567C83"/>
    <w:rsid w:val="00570F51"/>
    <w:rsid w:val="005A79FF"/>
    <w:rsid w:val="005B1443"/>
    <w:rsid w:val="005C403D"/>
    <w:rsid w:val="005C7EDF"/>
    <w:rsid w:val="005D2A34"/>
    <w:rsid w:val="005D479F"/>
    <w:rsid w:val="005F57F1"/>
    <w:rsid w:val="005F742F"/>
    <w:rsid w:val="0063615D"/>
    <w:rsid w:val="00637EAE"/>
    <w:rsid w:val="006401FD"/>
    <w:rsid w:val="006426E6"/>
    <w:rsid w:val="00644BE8"/>
    <w:rsid w:val="00656CDD"/>
    <w:rsid w:val="00661DEE"/>
    <w:rsid w:val="00684825"/>
    <w:rsid w:val="0069342D"/>
    <w:rsid w:val="006A1843"/>
    <w:rsid w:val="006F036A"/>
    <w:rsid w:val="00701E67"/>
    <w:rsid w:val="007329AB"/>
    <w:rsid w:val="007631C1"/>
    <w:rsid w:val="0076397F"/>
    <w:rsid w:val="00776CE4"/>
    <w:rsid w:val="00777F06"/>
    <w:rsid w:val="007C6DA6"/>
    <w:rsid w:val="007D3D8E"/>
    <w:rsid w:val="007D68B5"/>
    <w:rsid w:val="0080079B"/>
    <w:rsid w:val="0083298B"/>
    <w:rsid w:val="0083371D"/>
    <w:rsid w:val="00834CC8"/>
    <w:rsid w:val="00860EAA"/>
    <w:rsid w:val="008C3568"/>
    <w:rsid w:val="00913F35"/>
    <w:rsid w:val="009275D2"/>
    <w:rsid w:val="009318BA"/>
    <w:rsid w:val="00983685"/>
    <w:rsid w:val="00987FBE"/>
    <w:rsid w:val="009A04E6"/>
    <w:rsid w:val="009B3777"/>
    <w:rsid w:val="009E18C9"/>
    <w:rsid w:val="009F45AA"/>
    <w:rsid w:val="009F5F22"/>
    <w:rsid w:val="00A10700"/>
    <w:rsid w:val="00A11304"/>
    <w:rsid w:val="00A250F5"/>
    <w:rsid w:val="00A308D9"/>
    <w:rsid w:val="00A45C36"/>
    <w:rsid w:val="00A5280B"/>
    <w:rsid w:val="00A60ABD"/>
    <w:rsid w:val="00A70026"/>
    <w:rsid w:val="00A70C3C"/>
    <w:rsid w:val="00A76424"/>
    <w:rsid w:val="00A95D56"/>
    <w:rsid w:val="00A96547"/>
    <w:rsid w:val="00AB34DC"/>
    <w:rsid w:val="00AB435C"/>
    <w:rsid w:val="00AD3EE7"/>
    <w:rsid w:val="00AD591F"/>
    <w:rsid w:val="00AE48ED"/>
    <w:rsid w:val="00AF7E33"/>
    <w:rsid w:val="00B05D2F"/>
    <w:rsid w:val="00B07D93"/>
    <w:rsid w:val="00B135CA"/>
    <w:rsid w:val="00B440D1"/>
    <w:rsid w:val="00B47BF3"/>
    <w:rsid w:val="00B63B72"/>
    <w:rsid w:val="00BA4F6F"/>
    <w:rsid w:val="00BA6DB6"/>
    <w:rsid w:val="00BE3D40"/>
    <w:rsid w:val="00BF71D9"/>
    <w:rsid w:val="00C11284"/>
    <w:rsid w:val="00C16EAC"/>
    <w:rsid w:val="00C3731A"/>
    <w:rsid w:val="00C37976"/>
    <w:rsid w:val="00C41DE3"/>
    <w:rsid w:val="00C64842"/>
    <w:rsid w:val="00C704E7"/>
    <w:rsid w:val="00C81DBE"/>
    <w:rsid w:val="00C943BC"/>
    <w:rsid w:val="00C95EA0"/>
    <w:rsid w:val="00CA2527"/>
    <w:rsid w:val="00CA432C"/>
    <w:rsid w:val="00CB32ED"/>
    <w:rsid w:val="00CE0935"/>
    <w:rsid w:val="00D109C3"/>
    <w:rsid w:val="00D14306"/>
    <w:rsid w:val="00D16675"/>
    <w:rsid w:val="00D23371"/>
    <w:rsid w:val="00D279FE"/>
    <w:rsid w:val="00D301B7"/>
    <w:rsid w:val="00D436CA"/>
    <w:rsid w:val="00D441C0"/>
    <w:rsid w:val="00D72ED9"/>
    <w:rsid w:val="00D85CF7"/>
    <w:rsid w:val="00D90326"/>
    <w:rsid w:val="00DB7C2E"/>
    <w:rsid w:val="00DB7E31"/>
    <w:rsid w:val="00DC588A"/>
    <w:rsid w:val="00DC59A6"/>
    <w:rsid w:val="00E01F98"/>
    <w:rsid w:val="00E03A89"/>
    <w:rsid w:val="00E044B0"/>
    <w:rsid w:val="00E23DE4"/>
    <w:rsid w:val="00E27A48"/>
    <w:rsid w:val="00E43B7C"/>
    <w:rsid w:val="00E46457"/>
    <w:rsid w:val="00E54A1A"/>
    <w:rsid w:val="00E67B1F"/>
    <w:rsid w:val="00E72BD8"/>
    <w:rsid w:val="00E97BD9"/>
    <w:rsid w:val="00EA23DE"/>
    <w:rsid w:val="00EA7D0E"/>
    <w:rsid w:val="00EC703C"/>
    <w:rsid w:val="00EC7F95"/>
    <w:rsid w:val="00EE6436"/>
    <w:rsid w:val="00F07B8B"/>
    <w:rsid w:val="00F153D4"/>
    <w:rsid w:val="00F325B6"/>
    <w:rsid w:val="00F941B6"/>
    <w:rsid w:val="00F96721"/>
    <w:rsid w:val="00FA2001"/>
    <w:rsid w:val="00FA6D2B"/>
    <w:rsid w:val="00FD34BA"/>
    <w:rsid w:val="00FF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B13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DE LA ALCALDIA</vt:lpstr>
    </vt:vector>
  </TitlesOfParts>
  <Company>Ajuntament de Dénia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 LA ALCALDIA</dc:title>
  <dc:subject/>
  <dc:creator>SERVICIOS ECONOMICOS AYUNTAMI</dc:creator>
  <cp:keywords/>
  <dc:description/>
  <cp:lastModifiedBy>administrador</cp:lastModifiedBy>
  <cp:revision>7</cp:revision>
  <cp:lastPrinted>2012-03-02T07:46:00Z</cp:lastPrinted>
  <dcterms:created xsi:type="dcterms:W3CDTF">2015-07-24T11:52:00Z</dcterms:created>
  <dcterms:modified xsi:type="dcterms:W3CDTF">2015-07-24T12:51:00Z</dcterms:modified>
</cp:coreProperties>
</file>